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E82" w:rsidRPr="00E86773" w:rsidRDefault="00801317" w:rsidP="00BF5E82">
      <w:pPr>
        <w:pStyle w:val="Nadpis2"/>
        <w:spacing w:before="120" w:after="120"/>
        <w:rPr>
          <w:szCs w:val="24"/>
        </w:rPr>
      </w:pPr>
      <w:r>
        <w:rPr>
          <w:szCs w:val="24"/>
        </w:rPr>
        <w:t>Protinávrh k návrh na poskytnutí d</w:t>
      </w:r>
      <w:r w:rsidR="00BF5E82" w:rsidRPr="00E86773">
        <w:rPr>
          <w:szCs w:val="24"/>
        </w:rPr>
        <w:t>otac</w:t>
      </w:r>
      <w:r>
        <w:rPr>
          <w:szCs w:val="24"/>
        </w:rPr>
        <w:t>í</w:t>
      </w:r>
      <w:r w:rsidR="00BF5E82" w:rsidRPr="00E86773">
        <w:rPr>
          <w:szCs w:val="24"/>
        </w:rPr>
        <w:t xml:space="preserve"> pro rok 2018 v sociální oblasti</w:t>
      </w:r>
    </w:p>
    <w:p w:rsidR="00BF5E82" w:rsidRPr="002B2B65" w:rsidRDefault="00801317" w:rsidP="00BF5E82">
      <w:pPr>
        <w:widowControl w:val="0"/>
        <w:spacing w:before="120" w:after="120"/>
        <w:jc w:val="both"/>
      </w:pPr>
      <w:r>
        <w:rPr>
          <w:b/>
          <w:bCs/>
        </w:rPr>
        <w:t>Protinávrh p</w:t>
      </w:r>
      <w:r w:rsidR="00BF5E82" w:rsidRPr="002B2B65">
        <w:rPr>
          <w:b/>
          <w:bCs/>
        </w:rPr>
        <w:t>ředkládá:</w:t>
      </w:r>
      <w:r w:rsidR="00BF5E82" w:rsidRPr="002B2B65">
        <w:t xml:space="preserve"> </w:t>
      </w:r>
      <w:r>
        <w:t>zastupitel Mgr. Ondřej Lněnička</w:t>
      </w:r>
    </w:p>
    <w:p w:rsidR="00BF5E82" w:rsidRPr="002B2B65" w:rsidRDefault="00BF5E82" w:rsidP="00BF5E82">
      <w:pPr>
        <w:widowControl w:val="0"/>
        <w:tabs>
          <w:tab w:val="left" w:pos="6237"/>
        </w:tabs>
        <w:spacing w:before="120" w:after="120"/>
        <w:jc w:val="both"/>
      </w:pPr>
      <w:r w:rsidRPr="002B2B65">
        <w:rPr>
          <w:b/>
          <w:bCs/>
        </w:rPr>
        <w:t>Odbor:</w:t>
      </w:r>
      <w:r w:rsidRPr="002B2B65">
        <w:t xml:space="preserve"> OSPZ</w:t>
      </w:r>
      <w:r w:rsidRPr="002B2B65">
        <w:tab/>
      </w:r>
      <w:r w:rsidRPr="002B2B65">
        <w:rPr>
          <w:b/>
          <w:bCs/>
        </w:rPr>
        <w:t>Zpracoval:</w:t>
      </w:r>
      <w:r w:rsidRPr="002B2B65">
        <w:t xml:space="preserve"> </w:t>
      </w:r>
      <w:r w:rsidR="00801317">
        <w:t>Lněnička</w:t>
      </w:r>
    </w:p>
    <w:p w:rsidR="00BF5E82" w:rsidRPr="002B2B65" w:rsidRDefault="00BF5E82" w:rsidP="00BF5E82">
      <w:pPr>
        <w:spacing w:before="120" w:after="120"/>
        <w:jc w:val="both"/>
        <w:rPr>
          <w:b/>
          <w:bCs/>
        </w:rPr>
      </w:pPr>
      <w:r>
        <w:rPr>
          <w:b/>
          <w:bCs/>
        </w:rPr>
        <w:t>x</w:t>
      </w:r>
      <w:r w:rsidRPr="002B2B65">
        <w:rPr>
          <w:b/>
          <w:bCs/>
        </w:rPr>
        <w:t>.1</w:t>
      </w:r>
      <w:r w:rsidRPr="002B2B65">
        <w:rPr>
          <w:b/>
          <w:bCs/>
        </w:rPr>
        <w:tab/>
        <w:t xml:space="preserve">Usnesení č. </w:t>
      </w:r>
      <w:proofErr w:type="spellStart"/>
      <w:r>
        <w:rPr>
          <w:b/>
          <w:bCs/>
        </w:rPr>
        <w:t>xxx</w:t>
      </w:r>
      <w:proofErr w:type="spellEnd"/>
      <w:r w:rsidRPr="002B2B65">
        <w:rPr>
          <w:b/>
          <w:bCs/>
        </w:rPr>
        <w:t>/</w:t>
      </w:r>
      <w:r>
        <w:rPr>
          <w:b/>
          <w:bCs/>
        </w:rPr>
        <w:t>Z1</w:t>
      </w:r>
      <w:r w:rsidRPr="002B2B65">
        <w:rPr>
          <w:b/>
          <w:bCs/>
        </w:rPr>
        <w:t>/18</w:t>
      </w:r>
    </w:p>
    <w:p w:rsidR="00BF5E82" w:rsidRPr="002B2B65" w:rsidRDefault="00BF5E82" w:rsidP="00BF5E82">
      <w:pPr>
        <w:spacing w:before="120" w:after="120"/>
        <w:ind w:left="709" w:firstLine="11"/>
        <w:jc w:val="both"/>
      </w:pPr>
      <w:r w:rsidRPr="002B2B65">
        <w:t>ZMČ schv</w:t>
      </w:r>
      <w:r>
        <w:t>aluje</w:t>
      </w:r>
      <w:r w:rsidRPr="002B2B65">
        <w:t xml:space="preserve"> </w:t>
      </w:r>
      <w:r>
        <w:t xml:space="preserve">poskytnutí </w:t>
      </w:r>
      <w:r w:rsidRPr="002B2B65">
        <w:t>dotac</w:t>
      </w:r>
      <w:r>
        <w:t>í</w:t>
      </w:r>
      <w:r w:rsidRPr="002B2B65">
        <w:t xml:space="preserve"> v sociální oblasti pro rok 2018 z prostředků rozpočtu MČ v celkové výši 1.443.000 Kč </w:t>
      </w:r>
      <w:r>
        <w:t xml:space="preserve">a uzavření veřejnoprávních smluv, dle vzorů schválených usneseními ZMČ č. </w:t>
      </w:r>
      <w:r w:rsidRPr="002B2B65">
        <w:t>011/Z2/17 a č. 012/Z2/17</w:t>
      </w:r>
      <w:r>
        <w:t>, s </w:t>
      </w:r>
      <w:r w:rsidRPr="002B2B65">
        <w:t>jednotlivým</w:t>
      </w:r>
      <w:r>
        <w:t>i</w:t>
      </w:r>
      <w:r w:rsidRPr="002B2B65">
        <w:t xml:space="preserve"> žadatel</w:t>
      </w:r>
      <w:r>
        <w:t>i</w:t>
      </w:r>
      <w:r w:rsidRPr="002B2B65">
        <w:t xml:space="preserve"> uvedeným</w:t>
      </w:r>
      <w:r>
        <w:t>i</w:t>
      </w:r>
      <w:r w:rsidRPr="002B2B65">
        <w:t xml:space="preserve"> níže s tím, že finanční prostředky budou poskytnuty z § 4329 – Ostatní sociální péče a pomoc dětem a mládeži, z § 4339 – Ostatní sociální péče a pomoc rodině a manželství, z § 4351 – Osobní asistence, pečovatelská služba a z § 4379 - Ostatní služby a činnosti v oblasti sociální prevence a budou předmětem finančního vypořádání za rok 2018. Důvodem pro snížení dotace oproti požadavkům jednotlivých subjektů jsou výsledky bodového hodnocení dle podmínek na udělení dotací schválených usnesením č. </w:t>
      </w:r>
      <w:r w:rsidRPr="002B2B65">
        <w:rPr>
          <w:bCs/>
        </w:rPr>
        <w:t xml:space="preserve">071/Z7/17 </w:t>
      </w:r>
      <w:r w:rsidRPr="002B2B65">
        <w:t xml:space="preserve">a výše rozpočtu na jednotlivých paragrafech schválená usnesením ZMČ č. </w:t>
      </w:r>
      <w:proofErr w:type="spellStart"/>
      <w:r w:rsidRPr="002B2B65">
        <w:rPr>
          <w:highlight w:val="lightGray"/>
        </w:rPr>
        <w:t>xx</w:t>
      </w:r>
      <w:proofErr w:type="spellEnd"/>
      <w:r w:rsidRPr="002B2B65">
        <w:t xml:space="preserve">/Z1/18. </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920"/>
        <w:gridCol w:w="3119"/>
        <w:gridCol w:w="1346"/>
        <w:gridCol w:w="1489"/>
        <w:gridCol w:w="1275"/>
      </w:tblGrid>
      <w:tr w:rsidR="00BF5E82" w:rsidRPr="002B2B65" w:rsidTr="002A60C4">
        <w:tc>
          <w:tcPr>
            <w:tcW w:w="456" w:type="dxa"/>
            <w:shd w:val="clear" w:color="auto" w:fill="auto"/>
            <w:vAlign w:val="center"/>
          </w:tcPr>
          <w:p w:rsidR="00BF5E82" w:rsidRPr="002B2B65" w:rsidRDefault="00BF5E82" w:rsidP="002A60C4">
            <w:pPr>
              <w:jc w:val="center"/>
              <w:rPr>
                <w:rFonts w:cs="Arial"/>
                <w:bCs/>
                <w:sz w:val="22"/>
                <w:szCs w:val="22"/>
              </w:rPr>
            </w:pPr>
          </w:p>
        </w:tc>
        <w:tc>
          <w:tcPr>
            <w:tcW w:w="1920" w:type="dxa"/>
            <w:shd w:val="clear" w:color="auto" w:fill="auto"/>
            <w:vAlign w:val="center"/>
          </w:tcPr>
          <w:p w:rsidR="00BF5E82" w:rsidRPr="002B2B65" w:rsidRDefault="00BF5E82" w:rsidP="002A60C4">
            <w:pPr>
              <w:jc w:val="center"/>
              <w:rPr>
                <w:b/>
                <w:sz w:val="22"/>
                <w:szCs w:val="22"/>
              </w:rPr>
            </w:pPr>
            <w:r w:rsidRPr="002B2B65">
              <w:rPr>
                <w:b/>
                <w:sz w:val="22"/>
                <w:szCs w:val="22"/>
              </w:rPr>
              <w:t>Organizace</w:t>
            </w:r>
          </w:p>
        </w:tc>
        <w:tc>
          <w:tcPr>
            <w:tcW w:w="3119" w:type="dxa"/>
            <w:shd w:val="clear" w:color="auto" w:fill="auto"/>
            <w:vAlign w:val="center"/>
          </w:tcPr>
          <w:p w:rsidR="00BF5E82" w:rsidRPr="002B2B65" w:rsidRDefault="00BF5E82" w:rsidP="002A60C4">
            <w:pPr>
              <w:jc w:val="center"/>
              <w:rPr>
                <w:b/>
                <w:sz w:val="22"/>
                <w:szCs w:val="22"/>
              </w:rPr>
            </w:pPr>
            <w:r w:rsidRPr="002B2B65">
              <w:rPr>
                <w:b/>
                <w:sz w:val="22"/>
                <w:szCs w:val="22"/>
              </w:rPr>
              <w:t>Činnost</w:t>
            </w:r>
          </w:p>
        </w:tc>
        <w:tc>
          <w:tcPr>
            <w:tcW w:w="1346" w:type="dxa"/>
            <w:shd w:val="clear" w:color="auto" w:fill="auto"/>
            <w:vAlign w:val="center"/>
          </w:tcPr>
          <w:p w:rsidR="00BF5E82" w:rsidRPr="002B2B65" w:rsidRDefault="00BF5E82" w:rsidP="002A60C4">
            <w:pPr>
              <w:jc w:val="center"/>
              <w:rPr>
                <w:b/>
                <w:sz w:val="22"/>
                <w:szCs w:val="22"/>
              </w:rPr>
            </w:pPr>
            <w:r w:rsidRPr="002B2B65">
              <w:rPr>
                <w:b/>
                <w:sz w:val="22"/>
                <w:szCs w:val="22"/>
              </w:rPr>
              <w:t>Požadavek Kč</w:t>
            </w:r>
          </w:p>
        </w:tc>
        <w:tc>
          <w:tcPr>
            <w:tcW w:w="1489" w:type="dxa"/>
            <w:shd w:val="clear" w:color="auto" w:fill="auto"/>
            <w:vAlign w:val="center"/>
          </w:tcPr>
          <w:p w:rsidR="00BF5E82" w:rsidRPr="002B2B65" w:rsidRDefault="00BF5E82" w:rsidP="002A60C4">
            <w:pPr>
              <w:jc w:val="center"/>
              <w:rPr>
                <w:b/>
                <w:sz w:val="22"/>
                <w:szCs w:val="22"/>
              </w:rPr>
            </w:pPr>
            <w:r w:rsidRPr="002B2B65">
              <w:rPr>
                <w:b/>
                <w:sz w:val="22"/>
                <w:szCs w:val="22"/>
              </w:rPr>
              <w:t>Doporučeno Kč</w:t>
            </w:r>
          </w:p>
        </w:tc>
        <w:tc>
          <w:tcPr>
            <w:tcW w:w="1275" w:type="dxa"/>
            <w:shd w:val="clear" w:color="auto" w:fill="auto"/>
            <w:vAlign w:val="center"/>
          </w:tcPr>
          <w:p w:rsidR="00BF5E82" w:rsidRPr="002B2B65" w:rsidRDefault="00BF5E82" w:rsidP="002A60C4">
            <w:pPr>
              <w:jc w:val="center"/>
              <w:rPr>
                <w:b/>
                <w:sz w:val="22"/>
                <w:szCs w:val="22"/>
              </w:rPr>
            </w:pPr>
            <w:r w:rsidRPr="002B2B65">
              <w:rPr>
                <w:b/>
                <w:sz w:val="22"/>
                <w:szCs w:val="22"/>
              </w:rPr>
              <w:t>§ rozpočtu</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w:t>
            </w:r>
          </w:p>
        </w:tc>
        <w:tc>
          <w:tcPr>
            <w:tcW w:w="1920" w:type="dxa"/>
            <w:shd w:val="clear" w:color="auto" w:fill="auto"/>
            <w:vAlign w:val="center"/>
          </w:tcPr>
          <w:p w:rsidR="00BF5E82" w:rsidRPr="002B2B65" w:rsidRDefault="00BF5E82" w:rsidP="002A60C4">
            <w:pPr>
              <w:rPr>
                <w:bCs/>
                <w:sz w:val="22"/>
                <w:szCs w:val="22"/>
              </w:rPr>
            </w:pPr>
            <w:proofErr w:type="gramStart"/>
            <w:r w:rsidRPr="002B2B65">
              <w:rPr>
                <w:bCs/>
                <w:sz w:val="22"/>
                <w:szCs w:val="22"/>
              </w:rPr>
              <w:t>Junák - český</w:t>
            </w:r>
            <w:proofErr w:type="gramEnd"/>
            <w:r w:rsidRPr="002B2B65">
              <w:rPr>
                <w:bCs/>
                <w:sz w:val="22"/>
                <w:szCs w:val="22"/>
              </w:rPr>
              <w:t xml:space="preserve"> skaut, středisko Athabaska Praha, </w:t>
            </w:r>
            <w:proofErr w:type="spellStart"/>
            <w:r w:rsidRPr="002B2B65">
              <w:rPr>
                <w:bCs/>
                <w:sz w:val="22"/>
                <w:szCs w:val="22"/>
              </w:rPr>
              <w:t>z.s</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Kulturní, sportovní a vzdělávací akce, interaktivní herny, přírodní placená místa</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13.000</w:t>
            </w:r>
          </w:p>
        </w:tc>
        <w:tc>
          <w:tcPr>
            <w:tcW w:w="1489" w:type="dxa"/>
            <w:shd w:val="clear" w:color="auto" w:fill="auto"/>
            <w:vAlign w:val="center"/>
          </w:tcPr>
          <w:p w:rsidR="00BF5E82" w:rsidRPr="00801317" w:rsidRDefault="00801317" w:rsidP="002A60C4">
            <w:pPr>
              <w:jc w:val="right"/>
              <w:rPr>
                <w:b/>
                <w:color w:val="FF0000"/>
                <w:sz w:val="22"/>
                <w:szCs w:val="22"/>
              </w:rPr>
            </w:pPr>
            <w:r>
              <w:rPr>
                <w:b/>
                <w:color w:val="FF0000"/>
                <w:sz w:val="22"/>
                <w:szCs w:val="22"/>
              </w:rPr>
              <w:t>10</w:t>
            </w:r>
            <w:r w:rsidR="00BF5E82" w:rsidRPr="00801317">
              <w:rPr>
                <w:b/>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4329</w:t>
            </w:r>
          </w:p>
        </w:tc>
      </w:tr>
      <w:tr w:rsidR="00BF5E82" w:rsidRPr="002B2B65" w:rsidTr="002A60C4">
        <w:trPr>
          <w:trHeight w:val="623"/>
        </w:trPr>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2</w:t>
            </w:r>
          </w:p>
        </w:tc>
        <w:tc>
          <w:tcPr>
            <w:tcW w:w="1920" w:type="dxa"/>
            <w:shd w:val="clear" w:color="auto" w:fill="auto"/>
            <w:vAlign w:val="center"/>
          </w:tcPr>
          <w:p w:rsidR="00BF5E82" w:rsidRPr="002B2B65" w:rsidRDefault="00BF5E82" w:rsidP="002A60C4">
            <w:pPr>
              <w:rPr>
                <w:bCs/>
                <w:sz w:val="22"/>
                <w:szCs w:val="22"/>
              </w:rPr>
            </w:pPr>
            <w:proofErr w:type="spellStart"/>
            <w:r w:rsidRPr="002B2B65">
              <w:rPr>
                <w:bCs/>
                <w:sz w:val="22"/>
                <w:szCs w:val="22"/>
              </w:rPr>
              <w:t>Kazimírka</w:t>
            </w:r>
            <w:proofErr w:type="spellEnd"/>
            <w:r w:rsidRPr="002B2B65">
              <w:rPr>
                <w:bCs/>
                <w:sz w:val="22"/>
                <w:szCs w:val="22"/>
              </w:rPr>
              <w:t xml:space="preserve">, </w:t>
            </w:r>
            <w:proofErr w:type="spellStart"/>
            <w:r w:rsidRPr="002B2B65">
              <w:rPr>
                <w:bCs/>
                <w:sz w:val="22"/>
                <w:szCs w:val="22"/>
              </w:rPr>
              <w:t>z.s</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Dětský klub Letnice v roce 2018 - nájemné, provozní náklady, vybavení a renovace prostor, tisk a pojištění</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150.000</w:t>
            </w:r>
          </w:p>
        </w:tc>
        <w:tc>
          <w:tcPr>
            <w:tcW w:w="1489" w:type="dxa"/>
            <w:shd w:val="clear" w:color="auto" w:fill="auto"/>
            <w:vAlign w:val="center"/>
          </w:tcPr>
          <w:p w:rsidR="00BF5E82" w:rsidRPr="00801317" w:rsidRDefault="00BF5E82" w:rsidP="002A60C4">
            <w:pPr>
              <w:jc w:val="right"/>
              <w:rPr>
                <w:b/>
                <w:color w:val="FF0000"/>
                <w:sz w:val="22"/>
                <w:szCs w:val="22"/>
              </w:rPr>
            </w:pPr>
            <w:r w:rsidRPr="00801317">
              <w:rPr>
                <w:b/>
                <w:color w:val="FF0000"/>
                <w:sz w:val="22"/>
                <w:szCs w:val="22"/>
              </w:rPr>
              <w:t>13</w:t>
            </w:r>
            <w:r w:rsidR="00801317">
              <w:rPr>
                <w:b/>
                <w:color w:val="FF0000"/>
                <w:sz w:val="22"/>
                <w:szCs w:val="22"/>
              </w:rPr>
              <w:t>5</w:t>
            </w:r>
            <w:r w:rsidRPr="00801317">
              <w:rPr>
                <w:b/>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4329</w:t>
            </w:r>
          </w:p>
        </w:tc>
      </w:tr>
      <w:tr w:rsidR="00BF5E82" w:rsidRPr="002B2B65" w:rsidTr="002A60C4">
        <w:trPr>
          <w:trHeight w:val="1059"/>
        </w:trPr>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3</w:t>
            </w:r>
          </w:p>
        </w:tc>
        <w:tc>
          <w:tcPr>
            <w:tcW w:w="1920" w:type="dxa"/>
            <w:shd w:val="clear" w:color="auto" w:fill="auto"/>
            <w:vAlign w:val="center"/>
          </w:tcPr>
          <w:p w:rsidR="00BF5E82" w:rsidRPr="002B2B65" w:rsidRDefault="00BF5E82" w:rsidP="002A60C4">
            <w:pPr>
              <w:rPr>
                <w:bCs/>
                <w:sz w:val="22"/>
                <w:szCs w:val="22"/>
              </w:rPr>
            </w:pPr>
            <w:proofErr w:type="spellStart"/>
            <w:r w:rsidRPr="002B2B65">
              <w:rPr>
                <w:bCs/>
                <w:sz w:val="22"/>
                <w:szCs w:val="22"/>
              </w:rPr>
              <w:t>Kazimírka</w:t>
            </w:r>
            <w:proofErr w:type="spellEnd"/>
            <w:r w:rsidRPr="002B2B65">
              <w:rPr>
                <w:bCs/>
                <w:sz w:val="22"/>
                <w:szCs w:val="22"/>
              </w:rPr>
              <w:t xml:space="preserve">, </w:t>
            </w:r>
            <w:proofErr w:type="spellStart"/>
            <w:r w:rsidRPr="002B2B65">
              <w:rPr>
                <w:bCs/>
                <w:sz w:val="22"/>
                <w:szCs w:val="22"/>
              </w:rPr>
              <w:t>z.s</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Dětské příměstské tábory na území MČ Praha 18 - nájemné, náklady na provoz, materiál, vybavení, pomůcky, odměny, vstupné a animační služby</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52.000</w:t>
            </w:r>
          </w:p>
        </w:tc>
        <w:tc>
          <w:tcPr>
            <w:tcW w:w="1489" w:type="dxa"/>
            <w:shd w:val="clear" w:color="auto" w:fill="auto"/>
            <w:vAlign w:val="center"/>
          </w:tcPr>
          <w:p w:rsidR="00BF5E82" w:rsidRPr="00801317" w:rsidRDefault="00ED0B30" w:rsidP="002A60C4">
            <w:pPr>
              <w:jc w:val="right"/>
              <w:rPr>
                <w:b/>
                <w:color w:val="FF0000"/>
                <w:sz w:val="22"/>
                <w:szCs w:val="22"/>
              </w:rPr>
            </w:pPr>
            <w:r>
              <w:rPr>
                <w:b/>
                <w:color w:val="FF0000"/>
                <w:sz w:val="22"/>
                <w:szCs w:val="22"/>
              </w:rPr>
              <w:t>49</w:t>
            </w:r>
            <w:r w:rsidR="00BF5E82" w:rsidRPr="00801317">
              <w:rPr>
                <w:b/>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4329</w:t>
            </w:r>
          </w:p>
        </w:tc>
      </w:tr>
      <w:tr w:rsidR="00BF5E82" w:rsidRPr="002B2B65" w:rsidTr="002A60C4">
        <w:trPr>
          <w:trHeight w:val="975"/>
        </w:trPr>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4</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 xml:space="preserve">Klub </w:t>
            </w:r>
            <w:proofErr w:type="spellStart"/>
            <w:proofErr w:type="gramStart"/>
            <w:r w:rsidRPr="002B2B65">
              <w:rPr>
                <w:bCs/>
                <w:sz w:val="22"/>
                <w:szCs w:val="22"/>
              </w:rPr>
              <w:t>Slunečnice,z.ú</w:t>
            </w:r>
            <w:proofErr w:type="spellEnd"/>
            <w:r w:rsidRPr="002B2B65">
              <w:rPr>
                <w:bCs/>
                <w:sz w:val="22"/>
                <w:szCs w:val="22"/>
              </w:rPr>
              <w:t>.</w:t>
            </w:r>
            <w:proofErr w:type="gramEnd"/>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Náklady na nájemné, na vybavení, materiál na výtvarné dílny, náklady na akce klubu</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200.000</w:t>
            </w:r>
          </w:p>
        </w:tc>
        <w:tc>
          <w:tcPr>
            <w:tcW w:w="1489" w:type="dxa"/>
            <w:shd w:val="clear" w:color="auto" w:fill="auto"/>
            <w:vAlign w:val="center"/>
          </w:tcPr>
          <w:p w:rsidR="00BF5E82" w:rsidRPr="00801317" w:rsidRDefault="00BF5E82" w:rsidP="002A60C4">
            <w:pPr>
              <w:jc w:val="right"/>
              <w:rPr>
                <w:b/>
                <w:color w:val="FF0000"/>
                <w:sz w:val="22"/>
                <w:szCs w:val="22"/>
              </w:rPr>
            </w:pPr>
            <w:r w:rsidRPr="00801317">
              <w:rPr>
                <w:b/>
                <w:color w:val="FF0000"/>
                <w:sz w:val="22"/>
                <w:szCs w:val="22"/>
              </w:rPr>
              <w:t>19</w:t>
            </w:r>
            <w:r w:rsidR="00801317">
              <w:rPr>
                <w:b/>
                <w:color w:val="FF0000"/>
                <w:sz w:val="22"/>
                <w:szCs w:val="22"/>
              </w:rPr>
              <w:t>8</w:t>
            </w:r>
            <w:r w:rsidRPr="00801317">
              <w:rPr>
                <w:b/>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4329</w:t>
            </w:r>
          </w:p>
        </w:tc>
      </w:tr>
      <w:tr w:rsidR="00BF5E82" w:rsidRPr="002B2B65" w:rsidTr="002A60C4">
        <w:trPr>
          <w:trHeight w:val="506"/>
        </w:trPr>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5</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 xml:space="preserve">ÚAMK Sport </w:t>
            </w:r>
            <w:proofErr w:type="spellStart"/>
            <w:r w:rsidRPr="002B2B65">
              <w:rPr>
                <w:bCs/>
                <w:sz w:val="22"/>
                <w:szCs w:val="22"/>
              </w:rPr>
              <w:t>agency</w:t>
            </w:r>
            <w:proofErr w:type="spellEnd"/>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 xml:space="preserve">Pronájem sálu, kompenzační pomůcky, </w:t>
            </w:r>
            <w:proofErr w:type="spellStart"/>
            <w:r w:rsidRPr="002B2B65">
              <w:rPr>
                <w:bCs/>
                <w:sz w:val="22"/>
                <w:szCs w:val="22"/>
              </w:rPr>
              <w:t>lektorné</w:t>
            </w:r>
            <w:proofErr w:type="spellEnd"/>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80.000</w:t>
            </w:r>
          </w:p>
        </w:tc>
        <w:tc>
          <w:tcPr>
            <w:tcW w:w="1489" w:type="dxa"/>
            <w:shd w:val="clear" w:color="auto" w:fill="auto"/>
            <w:vAlign w:val="center"/>
          </w:tcPr>
          <w:p w:rsidR="00BF5E82" w:rsidRPr="00801317" w:rsidRDefault="00BF5E82" w:rsidP="002A60C4">
            <w:pPr>
              <w:jc w:val="right"/>
              <w:rPr>
                <w:b/>
                <w:color w:val="FF0000"/>
                <w:sz w:val="22"/>
                <w:szCs w:val="22"/>
              </w:rPr>
            </w:pPr>
            <w:r w:rsidRPr="00801317">
              <w:rPr>
                <w:b/>
                <w:color w:val="FF0000"/>
                <w:sz w:val="22"/>
                <w:szCs w:val="22"/>
              </w:rPr>
              <w:t>6</w:t>
            </w:r>
            <w:r w:rsidR="00801317">
              <w:rPr>
                <w:b/>
                <w:color w:val="FF0000"/>
                <w:sz w:val="22"/>
                <w:szCs w:val="22"/>
              </w:rPr>
              <w:t>5</w:t>
            </w:r>
            <w:r w:rsidRPr="00801317">
              <w:rPr>
                <w:b/>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4329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6</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Středisko křesťanské pomoci Horní Počernice</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Nájemné a úhrada provozních nákladů</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20.000</w:t>
            </w:r>
          </w:p>
        </w:tc>
        <w:tc>
          <w:tcPr>
            <w:tcW w:w="1489" w:type="dxa"/>
            <w:shd w:val="clear" w:color="auto" w:fill="auto"/>
            <w:vAlign w:val="center"/>
          </w:tcPr>
          <w:p w:rsidR="00BF5E82" w:rsidRPr="002B2B65" w:rsidRDefault="00BF5E82" w:rsidP="002A60C4">
            <w:pPr>
              <w:jc w:val="right"/>
              <w:rPr>
                <w:b/>
                <w:sz w:val="22"/>
                <w:szCs w:val="22"/>
              </w:rPr>
            </w:pPr>
            <w:r w:rsidRPr="002B2B65">
              <w:rPr>
                <w:b/>
                <w:sz w:val="22"/>
                <w:szCs w:val="22"/>
              </w:rPr>
              <w:t>20.000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4339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7</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Oblastní spolek Českého červeného kříže Praha 9</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Pečovatelská služba Letňany</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530.000</w:t>
            </w:r>
          </w:p>
        </w:tc>
        <w:tc>
          <w:tcPr>
            <w:tcW w:w="1489" w:type="dxa"/>
            <w:shd w:val="clear" w:color="auto" w:fill="auto"/>
            <w:vAlign w:val="center"/>
          </w:tcPr>
          <w:p w:rsidR="00BF5E82" w:rsidRPr="002B2B65" w:rsidRDefault="00BF5E82" w:rsidP="002A60C4">
            <w:pPr>
              <w:jc w:val="right"/>
              <w:rPr>
                <w:b/>
                <w:sz w:val="22"/>
                <w:szCs w:val="22"/>
              </w:rPr>
            </w:pPr>
            <w:r w:rsidRPr="002B2B65">
              <w:rPr>
                <w:b/>
                <w:sz w:val="22"/>
                <w:szCs w:val="22"/>
              </w:rPr>
              <w:t>530.000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4351</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8</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Handicap centrum Srdce, o.p.s.</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Materiál a mzdové náklady</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40.000</w:t>
            </w:r>
          </w:p>
        </w:tc>
        <w:tc>
          <w:tcPr>
            <w:tcW w:w="1489" w:type="dxa"/>
            <w:shd w:val="clear" w:color="auto" w:fill="auto"/>
            <w:vAlign w:val="center"/>
          </w:tcPr>
          <w:p w:rsidR="00BF5E82" w:rsidRPr="00801317" w:rsidRDefault="00BF5E82" w:rsidP="002A60C4">
            <w:pPr>
              <w:jc w:val="right"/>
              <w:rPr>
                <w:b/>
                <w:color w:val="FF0000"/>
                <w:sz w:val="22"/>
                <w:szCs w:val="22"/>
              </w:rPr>
            </w:pPr>
            <w:r w:rsidRPr="00801317">
              <w:rPr>
                <w:b/>
                <w:color w:val="FF0000"/>
                <w:sz w:val="22"/>
                <w:szCs w:val="22"/>
              </w:rPr>
              <w:t>1</w:t>
            </w:r>
            <w:r w:rsidR="00801317" w:rsidRPr="00801317">
              <w:rPr>
                <w:b/>
                <w:color w:val="FF0000"/>
                <w:sz w:val="22"/>
                <w:szCs w:val="22"/>
              </w:rPr>
              <w:t>7</w:t>
            </w:r>
            <w:r w:rsidRPr="00801317">
              <w:rPr>
                <w:b/>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9</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 xml:space="preserve">Klub seniorů Praha 18, </w:t>
            </w:r>
            <w:proofErr w:type="spellStart"/>
            <w:r w:rsidRPr="002B2B65">
              <w:rPr>
                <w:bCs/>
                <w:sz w:val="22"/>
                <w:szCs w:val="22"/>
              </w:rPr>
              <w:t>z.s</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 xml:space="preserve">Náklady na provoz a činnost </w:t>
            </w:r>
            <w:proofErr w:type="gramStart"/>
            <w:r w:rsidRPr="002B2B65">
              <w:rPr>
                <w:bCs/>
                <w:sz w:val="22"/>
                <w:szCs w:val="22"/>
              </w:rPr>
              <w:t>klubu,  vzdělávání</w:t>
            </w:r>
            <w:proofErr w:type="gramEnd"/>
            <w:r w:rsidRPr="002B2B65">
              <w:rPr>
                <w:bCs/>
                <w:sz w:val="22"/>
                <w:szCs w:val="22"/>
              </w:rPr>
              <w:t>, zájmové, kulturní a sportovní akce</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200.000</w:t>
            </w:r>
          </w:p>
        </w:tc>
        <w:tc>
          <w:tcPr>
            <w:tcW w:w="1489" w:type="dxa"/>
            <w:shd w:val="clear" w:color="auto" w:fill="auto"/>
            <w:vAlign w:val="center"/>
          </w:tcPr>
          <w:p w:rsidR="00BF5E82" w:rsidRPr="00801317" w:rsidRDefault="00BF5E82" w:rsidP="002A60C4">
            <w:pPr>
              <w:jc w:val="right"/>
              <w:rPr>
                <w:b/>
                <w:bCs/>
                <w:color w:val="FF0000"/>
                <w:sz w:val="22"/>
                <w:szCs w:val="22"/>
              </w:rPr>
            </w:pPr>
            <w:r w:rsidRPr="00801317">
              <w:rPr>
                <w:b/>
                <w:bCs/>
                <w:color w:val="FF0000"/>
                <w:sz w:val="22"/>
                <w:szCs w:val="22"/>
              </w:rPr>
              <w:t>1</w:t>
            </w:r>
            <w:r w:rsidR="00801317">
              <w:rPr>
                <w:b/>
                <w:bCs/>
                <w:color w:val="FF0000"/>
                <w:sz w:val="22"/>
                <w:szCs w:val="22"/>
              </w:rPr>
              <w:t>90</w:t>
            </w:r>
            <w:r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lastRenderedPageBreak/>
              <w:t>10</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 xml:space="preserve">Klub </w:t>
            </w:r>
            <w:proofErr w:type="gramStart"/>
            <w:r w:rsidRPr="002B2B65">
              <w:rPr>
                <w:bCs/>
                <w:sz w:val="22"/>
                <w:szCs w:val="22"/>
              </w:rPr>
              <w:t>ŽAP - ženy</w:t>
            </w:r>
            <w:proofErr w:type="gramEnd"/>
            <w:r w:rsidRPr="002B2B65">
              <w:rPr>
                <w:bCs/>
                <w:sz w:val="22"/>
                <w:szCs w:val="22"/>
              </w:rPr>
              <w:t xml:space="preserve"> s nádorovým onemocněním, </w:t>
            </w:r>
            <w:proofErr w:type="spellStart"/>
            <w:r w:rsidRPr="002B2B65">
              <w:rPr>
                <w:bCs/>
                <w:sz w:val="22"/>
                <w:szCs w:val="22"/>
              </w:rPr>
              <w:t>z.s</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Rekondiční ozdravné pobyty pro ženy po ablaci prsu</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30.000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29</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11</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 xml:space="preserve">Národní ústav pro autismus, </w:t>
            </w:r>
            <w:proofErr w:type="spellStart"/>
            <w:r w:rsidRPr="002B2B65">
              <w:rPr>
                <w:bCs/>
                <w:sz w:val="22"/>
                <w:szCs w:val="22"/>
              </w:rPr>
              <w:t>z.ú</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Náklady na nájem, spoje a pracovníka</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40.000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33</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12</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Oblastní spolek Českého červeného kříže Praha 9</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 xml:space="preserve">Náklady na vzdělávací akce, mzdy, materiál a vybavení </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60.000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57</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rPr>
          <w:trHeight w:val="782"/>
        </w:trPr>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13</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 xml:space="preserve">Stárneme ve zdraví, </w:t>
            </w:r>
            <w:proofErr w:type="spellStart"/>
            <w:r w:rsidRPr="002B2B65">
              <w:rPr>
                <w:bCs/>
                <w:sz w:val="22"/>
                <w:szCs w:val="22"/>
              </w:rPr>
              <w:t>z.ú</w:t>
            </w:r>
            <w:proofErr w:type="spellEnd"/>
            <w:r w:rsidRPr="002B2B65">
              <w:rPr>
                <w:bCs/>
                <w:sz w:val="22"/>
                <w:szCs w:val="22"/>
              </w:rPr>
              <w:t>.</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Pohybové lekce pro seniory v rozsahu 44 hodin – materiál a mzdy</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194.362</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rPr>
          <w:trHeight w:val="1053"/>
        </w:trPr>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14</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Středisko prevence a léčby drogových závislostí Drop In, o.p.s.</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Mzdy, nájemné, ekonomické služby</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45.000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32</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15</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Tichý svět, o.p.s.</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Sociální rehabilitace – mzdové náklady s odvody pro pracovníka v přímé péči</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40.000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27</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16</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Tichý svět, o.p.s.</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 xml:space="preserve">Tlumočnictví pro sluchově </w:t>
            </w:r>
            <w:proofErr w:type="gramStart"/>
            <w:r w:rsidRPr="002B2B65">
              <w:rPr>
                <w:bCs/>
                <w:sz w:val="22"/>
                <w:szCs w:val="22"/>
              </w:rPr>
              <w:t>postižené - mzdové</w:t>
            </w:r>
            <w:proofErr w:type="gramEnd"/>
            <w:r w:rsidRPr="002B2B65">
              <w:rPr>
                <w:bCs/>
                <w:sz w:val="22"/>
                <w:szCs w:val="22"/>
              </w:rPr>
              <w:t xml:space="preserve"> náklady na pracovníky v přímé péči</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40.000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31</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r w:rsidRPr="002B2B65">
              <w:rPr>
                <w:rFonts w:cs="Arial"/>
                <w:bCs/>
                <w:sz w:val="22"/>
                <w:szCs w:val="22"/>
              </w:rPr>
              <w:t>17</w:t>
            </w:r>
          </w:p>
        </w:tc>
        <w:tc>
          <w:tcPr>
            <w:tcW w:w="1920" w:type="dxa"/>
            <w:shd w:val="clear" w:color="auto" w:fill="auto"/>
            <w:vAlign w:val="center"/>
          </w:tcPr>
          <w:p w:rsidR="00BF5E82" w:rsidRPr="002B2B65" w:rsidRDefault="00BF5E82" w:rsidP="002A60C4">
            <w:pPr>
              <w:rPr>
                <w:bCs/>
                <w:sz w:val="22"/>
                <w:szCs w:val="22"/>
              </w:rPr>
            </w:pPr>
            <w:r w:rsidRPr="002B2B65">
              <w:rPr>
                <w:bCs/>
                <w:sz w:val="22"/>
                <w:szCs w:val="22"/>
              </w:rPr>
              <w:t>TŘI, o.p.s.</w:t>
            </w:r>
          </w:p>
        </w:tc>
        <w:tc>
          <w:tcPr>
            <w:tcW w:w="3119" w:type="dxa"/>
            <w:shd w:val="clear" w:color="auto" w:fill="auto"/>
            <w:vAlign w:val="center"/>
          </w:tcPr>
          <w:p w:rsidR="00BF5E82" w:rsidRPr="002B2B65" w:rsidRDefault="00BF5E82" w:rsidP="002A60C4">
            <w:pPr>
              <w:rPr>
                <w:bCs/>
                <w:sz w:val="22"/>
                <w:szCs w:val="22"/>
              </w:rPr>
            </w:pPr>
            <w:r w:rsidRPr="002B2B65">
              <w:rPr>
                <w:bCs/>
                <w:sz w:val="22"/>
                <w:szCs w:val="22"/>
              </w:rPr>
              <w:t xml:space="preserve">Hospic Dobrého Pastýře v </w:t>
            </w:r>
            <w:proofErr w:type="gramStart"/>
            <w:r w:rsidRPr="002B2B65">
              <w:rPr>
                <w:bCs/>
                <w:sz w:val="22"/>
                <w:szCs w:val="22"/>
              </w:rPr>
              <w:t>Čerčanech - zdravotnický</w:t>
            </w:r>
            <w:proofErr w:type="gramEnd"/>
            <w:r w:rsidRPr="002B2B65">
              <w:rPr>
                <w:bCs/>
                <w:sz w:val="22"/>
                <w:szCs w:val="22"/>
              </w:rPr>
              <w:t xml:space="preserve"> materiál, hygienické potřeby</w:t>
            </w:r>
          </w:p>
        </w:tc>
        <w:tc>
          <w:tcPr>
            <w:tcW w:w="1346" w:type="dxa"/>
            <w:shd w:val="clear" w:color="auto" w:fill="auto"/>
            <w:vAlign w:val="center"/>
          </w:tcPr>
          <w:p w:rsidR="00BF5E82" w:rsidRPr="002B2B65" w:rsidRDefault="00BF5E82" w:rsidP="002A60C4">
            <w:pPr>
              <w:jc w:val="right"/>
              <w:rPr>
                <w:bCs/>
                <w:sz w:val="22"/>
                <w:szCs w:val="22"/>
              </w:rPr>
            </w:pPr>
            <w:r w:rsidRPr="002B2B65">
              <w:rPr>
                <w:bCs/>
                <w:sz w:val="22"/>
                <w:szCs w:val="22"/>
              </w:rPr>
              <w:t>20.000</w:t>
            </w:r>
          </w:p>
        </w:tc>
        <w:tc>
          <w:tcPr>
            <w:tcW w:w="1489" w:type="dxa"/>
            <w:shd w:val="clear" w:color="auto" w:fill="auto"/>
            <w:vAlign w:val="center"/>
          </w:tcPr>
          <w:p w:rsidR="00BF5E82" w:rsidRPr="00801317" w:rsidRDefault="00801317" w:rsidP="002A60C4">
            <w:pPr>
              <w:jc w:val="right"/>
              <w:rPr>
                <w:b/>
                <w:bCs/>
                <w:color w:val="FF0000"/>
                <w:sz w:val="22"/>
                <w:szCs w:val="22"/>
              </w:rPr>
            </w:pPr>
            <w:r w:rsidRPr="00801317">
              <w:rPr>
                <w:b/>
                <w:bCs/>
                <w:color w:val="FF0000"/>
                <w:sz w:val="22"/>
                <w:szCs w:val="22"/>
              </w:rPr>
              <w:t>20</w:t>
            </w:r>
            <w:r w:rsidR="00BF5E82" w:rsidRPr="00801317">
              <w:rPr>
                <w:b/>
                <w:bCs/>
                <w:color w:val="FF0000"/>
                <w:sz w:val="22"/>
                <w:szCs w:val="22"/>
              </w:rPr>
              <w:t>.000</w:t>
            </w:r>
          </w:p>
        </w:tc>
        <w:tc>
          <w:tcPr>
            <w:tcW w:w="1275" w:type="dxa"/>
            <w:shd w:val="clear" w:color="auto" w:fill="auto"/>
            <w:vAlign w:val="center"/>
          </w:tcPr>
          <w:p w:rsidR="00BF5E82" w:rsidRPr="002B2B65" w:rsidRDefault="00BF5E82" w:rsidP="002A60C4">
            <w:pPr>
              <w:jc w:val="center"/>
              <w:rPr>
                <w:bCs/>
                <w:sz w:val="22"/>
                <w:szCs w:val="22"/>
              </w:rPr>
            </w:pPr>
            <w:r w:rsidRPr="002B2B65">
              <w:rPr>
                <w:bCs/>
                <w:sz w:val="22"/>
                <w:szCs w:val="22"/>
              </w:rPr>
              <w:t>4379</w:t>
            </w:r>
          </w:p>
        </w:tc>
      </w:tr>
      <w:tr w:rsidR="00BF5E82" w:rsidRPr="002B2B65" w:rsidTr="002A60C4">
        <w:tc>
          <w:tcPr>
            <w:tcW w:w="456" w:type="dxa"/>
            <w:shd w:val="clear" w:color="auto" w:fill="auto"/>
            <w:vAlign w:val="center"/>
          </w:tcPr>
          <w:p w:rsidR="00BF5E82" w:rsidRPr="002B2B65" w:rsidRDefault="00BF5E82" w:rsidP="002A60C4">
            <w:pPr>
              <w:rPr>
                <w:rFonts w:cs="Arial"/>
                <w:bCs/>
                <w:sz w:val="22"/>
                <w:szCs w:val="22"/>
              </w:rPr>
            </w:pPr>
          </w:p>
        </w:tc>
        <w:tc>
          <w:tcPr>
            <w:tcW w:w="1920" w:type="dxa"/>
            <w:shd w:val="clear" w:color="auto" w:fill="auto"/>
            <w:vAlign w:val="center"/>
          </w:tcPr>
          <w:p w:rsidR="00BF5E82" w:rsidRPr="002B2B65" w:rsidRDefault="00BF5E82" w:rsidP="002A60C4">
            <w:pPr>
              <w:rPr>
                <w:rFonts w:cs="Arial"/>
                <w:b/>
                <w:bCs/>
                <w:sz w:val="22"/>
                <w:szCs w:val="22"/>
              </w:rPr>
            </w:pPr>
            <w:r w:rsidRPr="002B2B65">
              <w:rPr>
                <w:rFonts w:cs="Arial"/>
                <w:b/>
                <w:bCs/>
                <w:sz w:val="22"/>
                <w:szCs w:val="22"/>
              </w:rPr>
              <w:t>Celkem</w:t>
            </w:r>
          </w:p>
        </w:tc>
        <w:tc>
          <w:tcPr>
            <w:tcW w:w="3119" w:type="dxa"/>
            <w:shd w:val="clear" w:color="auto" w:fill="auto"/>
            <w:vAlign w:val="center"/>
          </w:tcPr>
          <w:p w:rsidR="00BF5E82" w:rsidRPr="002B2B65" w:rsidRDefault="00BF5E82" w:rsidP="002A60C4">
            <w:pPr>
              <w:rPr>
                <w:rFonts w:cs="Arial"/>
                <w:bCs/>
                <w:sz w:val="22"/>
                <w:szCs w:val="22"/>
              </w:rPr>
            </w:pPr>
          </w:p>
        </w:tc>
        <w:tc>
          <w:tcPr>
            <w:tcW w:w="1346" w:type="dxa"/>
            <w:shd w:val="clear" w:color="auto" w:fill="auto"/>
            <w:vAlign w:val="center"/>
          </w:tcPr>
          <w:p w:rsidR="00BF5E82" w:rsidRPr="002B2B65" w:rsidRDefault="00BF5E82" w:rsidP="002A60C4">
            <w:pPr>
              <w:jc w:val="right"/>
              <w:rPr>
                <w:sz w:val="22"/>
                <w:szCs w:val="22"/>
              </w:rPr>
            </w:pPr>
            <w:r w:rsidRPr="002B2B65">
              <w:rPr>
                <w:sz w:val="22"/>
                <w:szCs w:val="22"/>
              </w:rPr>
              <w:t>1.754.362</w:t>
            </w:r>
          </w:p>
        </w:tc>
        <w:tc>
          <w:tcPr>
            <w:tcW w:w="1489" w:type="dxa"/>
            <w:shd w:val="clear" w:color="auto" w:fill="auto"/>
            <w:vAlign w:val="center"/>
          </w:tcPr>
          <w:p w:rsidR="00BF5E82" w:rsidRPr="002B2B65" w:rsidRDefault="00BF5E82" w:rsidP="002A60C4">
            <w:pPr>
              <w:jc w:val="right"/>
              <w:rPr>
                <w:b/>
                <w:sz w:val="22"/>
                <w:szCs w:val="22"/>
              </w:rPr>
            </w:pPr>
            <w:r w:rsidRPr="002B2B65">
              <w:rPr>
                <w:b/>
                <w:sz w:val="22"/>
                <w:szCs w:val="22"/>
              </w:rPr>
              <w:t>1.443.000</w:t>
            </w:r>
          </w:p>
        </w:tc>
        <w:tc>
          <w:tcPr>
            <w:tcW w:w="1275" w:type="dxa"/>
            <w:shd w:val="clear" w:color="auto" w:fill="auto"/>
            <w:vAlign w:val="center"/>
          </w:tcPr>
          <w:p w:rsidR="00BF5E82" w:rsidRPr="002B2B65" w:rsidRDefault="00BF5E82" w:rsidP="002A60C4">
            <w:pPr>
              <w:jc w:val="center"/>
              <w:rPr>
                <w:rFonts w:cs="Arial"/>
                <w:bCs/>
                <w:sz w:val="22"/>
                <w:szCs w:val="22"/>
              </w:rPr>
            </w:pPr>
          </w:p>
        </w:tc>
      </w:tr>
    </w:tbl>
    <w:p w:rsidR="00BF5E82" w:rsidRPr="002B2B65" w:rsidRDefault="00BF5E82" w:rsidP="00BF5E82">
      <w:pPr>
        <w:widowControl w:val="0"/>
        <w:spacing w:before="120" w:after="120"/>
        <w:jc w:val="both"/>
        <w:rPr>
          <w:b/>
        </w:rPr>
      </w:pPr>
      <w:r>
        <w:rPr>
          <w:b/>
          <w:bCs/>
        </w:rPr>
        <w:t>x</w:t>
      </w:r>
      <w:r w:rsidRPr="002B2B65">
        <w:rPr>
          <w:b/>
          <w:bCs/>
        </w:rPr>
        <w:t>.2</w:t>
      </w:r>
      <w:r w:rsidRPr="002B2B65">
        <w:rPr>
          <w:b/>
          <w:bCs/>
        </w:rPr>
        <w:tab/>
        <w:t>Důvodová zpráva:</w:t>
      </w:r>
    </w:p>
    <w:p w:rsidR="00BF5E82" w:rsidRPr="002B2B65" w:rsidRDefault="00BF5E82" w:rsidP="00BF5E82">
      <w:pPr>
        <w:pStyle w:val="Zkladntextodsazen3"/>
        <w:spacing w:before="120"/>
        <w:ind w:left="720"/>
        <w:jc w:val="both"/>
        <w:rPr>
          <w:sz w:val="24"/>
          <w:szCs w:val="24"/>
        </w:rPr>
      </w:pPr>
      <w:r>
        <w:rPr>
          <w:sz w:val="24"/>
          <w:szCs w:val="24"/>
        </w:rPr>
        <w:t>x</w:t>
      </w:r>
      <w:r w:rsidRPr="002B2B65">
        <w:rPr>
          <w:sz w:val="24"/>
          <w:szCs w:val="24"/>
        </w:rPr>
        <w:t>.2.1</w:t>
      </w:r>
      <w:r w:rsidRPr="002B2B65">
        <w:rPr>
          <w:sz w:val="24"/>
          <w:szCs w:val="24"/>
        </w:rPr>
        <w:tab/>
        <w:t>Legislativní podklady:</w:t>
      </w:r>
    </w:p>
    <w:p w:rsidR="00BF5E82" w:rsidRPr="002B2B65" w:rsidRDefault="00BF5E82" w:rsidP="00BF5E82">
      <w:pPr>
        <w:ind w:left="1418"/>
        <w:jc w:val="both"/>
      </w:pPr>
      <w:r w:rsidRPr="002B2B65">
        <w:t xml:space="preserve">usnesení ZMČ č.011/Z2/17, č. 012/Z2/17, č. </w:t>
      </w:r>
      <w:r w:rsidRPr="002B2B65">
        <w:rPr>
          <w:bCs/>
        </w:rPr>
        <w:t>071/Z7/17</w:t>
      </w:r>
      <w:r w:rsidRPr="002B2B65">
        <w:t xml:space="preserve">, č. </w:t>
      </w:r>
      <w:proofErr w:type="spellStart"/>
      <w:r w:rsidRPr="002B2B65">
        <w:rPr>
          <w:bCs/>
          <w:highlight w:val="lightGray"/>
        </w:rPr>
        <w:t>xx</w:t>
      </w:r>
      <w:proofErr w:type="spellEnd"/>
      <w:r w:rsidRPr="002B2B65">
        <w:rPr>
          <w:bCs/>
        </w:rPr>
        <w:t>/Z1/18,</w:t>
      </w:r>
    </w:p>
    <w:p w:rsidR="00BF5E82" w:rsidRPr="002B2B65" w:rsidRDefault="00BF5E82" w:rsidP="00BF5E82">
      <w:pPr>
        <w:ind w:left="1418"/>
        <w:jc w:val="both"/>
      </w:pPr>
      <w:r w:rsidRPr="002B2B65">
        <w:t>zákon č. 131/2000 Sb., o hlavním městě Praze</w:t>
      </w:r>
    </w:p>
    <w:p w:rsidR="00BF5E82" w:rsidRPr="002B2B65" w:rsidRDefault="00BF5E82" w:rsidP="00BF5E82">
      <w:pPr>
        <w:ind w:left="1418"/>
        <w:jc w:val="both"/>
        <w:rPr>
          <w:b/>
          <w:bCs/>
        </w:rPr>
      </w:pPr>
      <w:r w:rsidRPr="002B2B65">
        <w:t xml:space="preserve">zákon č. 250/2000 Sb., o rozpočtových pravidlech územních celků </w:t>
      </w:r>
    </w:p>
    <w:p w:rsidR="00BF5E82" w:rsidRPr="002B2B65" w:rsidRDefault="00BF5E82" w:rsidP="00BF5E82">
      <w:pPr>
        <w:pStyle w:val="Zkladntextodsazen3"/>
        <w:spacing w:before="120"/>
        <w:ind w:left="720"/>
        <w:jc w:val="both"/>
        <w:rPr>
          <w:sz w:val="24"/>
          <w:szCs w:val="24"/>
        </w:rPr>
      </w:pPr>
      <w:r>
        <w:rPr>
          <w:sz w:val="24"/>
          <w:szCs w:val="24"/>
        </w:rPr>
        <w:t>x</w:t>
      </w:r>
      <w:r w:rsidRPr="002B2B65">
        <w:rPr>
          <w:sz w:val="24"/>
          <w:szCs w:val="24"/>
        </w:rPr>
        <w:t>.2.2</w:t>
      </w:r>
      <w:r w:rsidRPr="002B2B65">
        <w:rPr>
          <w:sz w:val="24"/>
          <w:szCs w:val="24"/>
        </w:rPr>
        <w:tab/>
        <w:t>Odůvodnění předkladu:</w:t>
      </w:r>
    </w:p>
    <w:p w:rsidR="00BF5E82" w:rsidRPr="002B2B65" w:rsidRDefault="00BF5E82" w:rsidP="00BF5E82">
      <w:pPr>
        <w:pStyle w:val="Zkladntextodsazen3"/>
        <w:spacing w:before="120"/>
        <w:ind w:left="1416"/>
        <w:jc w:val="both"/>
        <w:rPr>
          <w:sz w:val="24"/>
        </w:rPr>
      </w:pPr>
      <w:r w:rsidRPr="002B2B65">
        <w:rPr>
          <w:sz w:val="24"/>
        </w:rPr>
        <w:t>Usnesením č. 071/Z7/17 schválilo ZMČ „Podmínky pro udělení dotace v sociální oblasti pro rok 2018“.</w:t>
      </w:r>
    </w:p>
    <w:p w:rsidR="00BF5E82" w:rsidRDefault="00BF5E82" w:rsidP="00BF5E82">
      <w:pPr>
        <w:pStyle w:val="Zkladntextodsazen3"/>
        <w:spacing w:before="120"/>
        <w:ind w:left="1416"/>
        <w:jc w:val="both"/>
        <w:rPr>
          <w:sz w:val="24"/>
          <w:szCs w:val="24"/>
        </w:rPr>
      </w:pPr>
      <w:r w:rsidRPr="002B2B65">
        <w:rPr>
          <w:bCs/>
          <w:sz w:val="24"/>
          <w:szCs w:val="24"/>
        </w:rPr>
        <w:t>Vzory veřejnoprávních smluv pro poskytování dotací byly</w:t>
      </w:r>
      <w:r w:rsidRPr="002B2B65">
        <w:rPr>
          <w:bCs/>
        </w:rPr>
        <w:t xml:space="preserve"> </w:t>
      </w:r>
      <w:r w:rsidRPr="002B2B65">
        <w:rPr>
          <w:sz w:val="24"/>
          <w:szCs w:val="24"/>
        </w:rPr>
        <w:t>schváleny ZMČ usneseními č. 011/Z2/17 a č. 012/Z2/17.</w:t>
      </w:r>
    </w:p>
    <w:p w:rsidR="00B667E3" w:rsidRDefault="00B667E3" w:rsidP="00BF5E82">
      <w:pPr>
        <w:pStyle w:val="Zkladntextodsazen3"/>
        <w:spacing w:before="120"/>
        <w:ind w:left="1416"/>
        <w:jc w:val="both"/>
        <w:rPr>
          <w:rFonts w:eastAsiaTheme="minorHAnsi"/>
          <w:sz w:val="24"/>
          <w:szCs w:val="24"/>
          <w:lang w:eastAsia="en-US"/>
        </w:rPr>
      </w:pPr>
      <w:r w:rsidRPr="002C3BAD">
        <w:rPr>
          <w:sz w:val="24"/>
          <w:szCs w:val="24"/>
        </w:rPr>
        <w:t xml:space="preserve">Mezi žadateli o dotaci </w:t>
      </w:r>
      <w:r w:rsidR="002C3BAD" w:rsidRPr="002C3BAD">
        <w:rPr>
          <w:sz w:val="24"/>
          <w:szCs w:val="24"/>
        </w:rPr>
        <w:t xml:space="preserve">je i ústav </w:t>
      </w:r>
      <w:r w:rsidR="002C3BAD" w:rsidRPr="002C3BAD">
        <w:rPr>
          <w:rFonts w:eastAsiaTheme="minorHAnsi"/>
          <w:sz w:val="24"/>
          <w:szCs w:val="24"/>
          <w:lang w:eastAsia="en-US"/>
        </w:rPr>
        <w:t xml:space="preserve">Stárneme ve zdraví, </w:t>
      </w:r>
      <w:proofErr w:type="spellStart"/>
      <w:r w:rsidR="002C3BAD" w:rsidRPr="002C3BAD">
        <w:rPr>
          <w:rFonts w:eastAsiaTheme="minorHAnsi"/>
          <w:sz w:val="24"/>
          <w:szCs w:val="24"/>
          <w:lang w:eastAsia="en-US"/>
        </w:rPr>
        <w:t>z.ú</w:t>
      </w:r>
      <w:proofErr w:type="spellEnd"/>
      <w:r w:rsidR="002C3BAD" w:rsidRPr="002C3BAD">
        <w:rPr>
          <w:rFonts w:eastAsiaTheme="minorHAnsi"/>
          <w:sz w:val="24"/>
          <w:szCs w:val="24"/>
          <w:lang w:eastAsia="en-US"/>
        </w:rPr>
        <w:t>.</w:t>
      </w:r>
      <w:r w:rsidR="002C3BAD" w:rsidRPr="002C3BAD">
        <w:rPr>
          <w:rFonts w:eastAsiaTheme="minorHAnsi"/>
          <w:sz w:val="24"/>
          <w:szCs w:val="24"/>
          <w:lang w:eastAsia="en-US"/>
        </w:rPr>
        <w:t>, který vznikl dne 30.1.2018, tzn. jeden před tím, než byla uzávěrka podávání žádostí o dotace na rok 2018.</w:t>
      </w:r>
      <w:r w:rsidR="002C3BAD">
        <w:rPr>
          <w:rFonts w:eastAsiaTheme="minorHAnsi"/>
          <w:sz w:val="24"/>
          <w:szCs w:val="24"/>
          <w:lang w:eastAsia="en-US"/>
        </w:rPr>
        <w:t xml:space="preserve"> Uvedený ústav nevykazoval doposud žádnou činnost (a pro svoji neexistenci ani vykazovat nemohl) a je zcela neznámou právnickou osobou bez jakékoli ověřitelné historie vlastní činnosti. Souvztažnost k MČ Praha 18 lze tak spatřovat pouze v osobě ředitelky ústavu, paní Mgr. Jany Mikulecké, která je manželkou Ing. Jana Mikuleckého, PhD. bývalého zastupitele MČ, který byl pravomocně odsouzen za trestné činy vydírání a </w:t>
      </w:r>
      <w:proofErr w:type="spellStart"/>
      <w:r w:rsidR="002C3BAD">
        <w:rPr>
          <w:rFonts w:eastAsiaTheme="minorHAnsi"/>
          <w:sz w:val="24"/>
          <w:szCs w:val="24"/>
          <w:lang w:eastAsia="en-US"/>
        </w:rPr>
        <w:t>podlacení</w:t>
      </w:r>
      <w:proofErr w:type="spellEnd"/>
      <w:r w:rsidR="002C3BAD">
        <w:rPr>
          <w:rFonts w:eastAsiaTheme="minorHAnsi"/>
          <w:sz w:val="24"/>
          <w:szCs w:val="24"/>
          <w:lang w:eastAsia="en-US"/>
        </w:rPr>
        <w:t xml:space="preserve">, kterých se dopustil v souvislosti s komunálními volbami na podzim 2014. </w:t>
      </w:r>
    </w:p>
    <w:p w:rsidR="00A84C23" w:rsidRDefault="00A84C23" w:rsidP="00BF5E82">
      <w:pPr>
        <w:pStyle w:val="Zkladntextodsazen3"/>
        <w:spacing w:before="120"/>
        <w:ind w:left="1416"/>
        <w:jc w:val="both"/>
        <w:rPr>
          <w:sz w:val="24"/>
          <w:szCs w:val="24"/>
        </w:rPr>
      </w:pPr>
    </w:p>
    <w:p w:rsidR="00A84C23" w:rsidRDefault="00A84C23" w:rsidP="00BF5E82">
      <w:pPr>
        <w:pStyle w:val="Zkladntextodsazen3"/>
        <w:spacing w:before="120"/>
        <w:ind w:left="1416"/>
        <w:jc w:val="both"/>
        <w:rPr>
          <w:sz w:val="24"/>
          <w:szCs w:val="24"/>
        </w:rPr>
      </w:pPr>
    </w:p>
    <w:p w:rsidR="00A84C23" w:rsidRDefault="002C3BAD" w:rsidP="00BF5E82">
      <w:pPr>
        <w:pStyle w:val="Zkladntextodsazen3"/>
        <w:spacing w:before="120"/>
        <w:ind w:left="1416"/>
        <w:jc w:val="both"/>
        <w:rPr>
          <w:sz w:val="24"/>
          <w:szCs w:val="24"/>
        </w:rPr>
      </w:pPr>
      <w:r>
        <w:rPr>
          <w:sz w:val="24"/>
          <w:szCs w:val="24"/>
        </w:rPr>
        <w:lastRenderedPageBreak/>
        <w:t xml:space="preserve">Bez </w:t>
      </w:r>
      <w:proofErr w:type="gramStart"/>
      <w:r>
        <w:rPr>
          <w:sz w:val="24"/>
          <w:szCs w:val="24"/>
        </w:rPr>
        <w:t>ověření</w:t>
      </w:r>
      <w:proofErr w:type="gramEnd"/>
      <w:r>
        <w:rPr>
          <w:sz w:val="24"/>
          <w:szCs w:val="24"/>
        </w:rPr>
        <w:t xml:space="preserve"> jakou skutečnou činnost </w:t>
      </w:r>
      <w:r w:rsidR="00A84C23" w:rsidRPr="002C3BAD">
        <w:rPr>
          <w:rFonts w:eastAsiaTheme="minorHAnsi"/>
          <w:sz w:val="24"/>
          <w:szCs w:val="24"/>
          <w:lang w:eastAsia="en-US"/>
        </w:rPr>
        <w:t xml:space="preserve">Stárneme ve zdraví, </w:t>
      </w:r>
      <w:proofErr w:type="spellStart"/>
      <w:r w:rsidR="00A84C23" w:rsidRPr="002C3BAD">
        <w:rPr>
          <w:rFonts w:eastAsiaTheme="minorHAnsi"/>
          <w:sz w:val="24"/>
          <w:szCs w:val="24"/>
          <w:lang w:eastAsia="en-US"/>
        </w:rPr>
        <w:t>z.ú</w:t>
      </w:r>
      <w:proofErr w:type="spellEnd"/>
      <w:r w:rsidR="00A84C23" w:rsidRPr="002C3BAD">
        <w:rPr>
          <w:rFonts w:eastAsiaTheme="minorHAnsi"/>
          <w:sz w:val="24"/>
          <w:szCs w:val="24"/>
          <w:lang w:eastAsia="en-US"/>
        </w:rPr>
        <w:t>.</w:t>
      </w:r>
      <w:r w:rsidR="00A84C23">
        <w:rPr>
          <w:rFonts w:eastAsiaTheme="minorHAnsi"/>
          <w:sz w:val="24"/>
          <w:szCs w:val="24"/>
          <w:lang w:eastAsia="en-US"/>
        </w:rPr>
        <w:t xml:space="preserve"> </w:t>
      </w:r>
      <w:r w:rsidR="00ED0B30">
        <w:rPr>
          <w:rFonts w:eastAsiaTheme="minorHAnsi"/>
          <w:sz w:val="24"/>
          <w:szCs w:val="24"/>
          <w:lang w:eastAsia="en-US"/>
        </w:rPr>
        <w:t>v</w:t>
      </w:r>
      <w:r>
        <w:rPr>
          <w:sz w:val="24"/>
          <w:szCs w:val="24"/>
        </w:rPr>
        <w:t xml:space="preserve">ykonává a jaké jsou její výsledky, lze jen těžko transparentně rozhodnout, zda prostředky MČ budou plnit účel, pro který jsou určeny. Neexistence historie současně vzbuzuje pochybnost, </w:t>
      </w:r>
      <w:r w:rsidR="00A84C23">
        <w:rPr>
          <w:sz w:val="24"/>
          <w:szCs w:val="24"/>
        </w:rPr>
        <w:t xml:space="preserve">jaký je skutečný </w:t>
      </w:r>
      <w:r>
        <w:rPr>
          <w:sz w:val="24"/>
          <w:szCs w:val="24"/>
        </w:rPr>
        <w:t>smysl</w:t>
      </w:r>
      <w:r w:rsidR="00A84C23">
        <w:rPr>
          <w:sz w:val="24"/>
          <w:szCs w:val="24"/>
        </w:rPr>
        <w:t xml:space="preserve"> a účel celé</w:t>
      </w:r>
      <w:r>
        <w:rPr>
          <w:sz w:val="24"/>
          <w:szCs w:val="24"/>
        </w:rPr>
        <w:t xml:space="preserve"> dotace. </w:t>
      </w:r>
    </w:p>
    <w:p w:rsidR="002C3BAD" w:rsidRPr="002C3BAD" w:rsidRDefault="00A84C23" w:rsidP="00BF5E82">
      <w:pPr>
        <w:pStyle w:val="Zkladntextodsazen3"/>
        <w:spacing w:before="120"/>
        <w:ind w:left="1416"/>
        <w:jc w:val="both"/>
        <w:rPr>
          <w:sz w:val="24"/>
          <w:szCs w:val="24"/>
        </w:rPr>
      </w:pPr>
      <w:r>
        <w:rPr>
          <w:sz w:val="24"/>
          <w:szCs w:val="24"/>
        </w:rPr>
        <w:t xml:space="preserve">Vzhledem k uvedeným skutečnostem se </w:t>
      </w:r>
      <w:r w:rsidR="002C3BAD">
        <w:rPr>
          <w:sz w:val="24"/>
          <w:szCs w:val="24"/>
        </w:rPr>
        <w:t xml:space="preserve">navrhuje žádnou dotaci </w:t>
      </w:r>
      <w:r w:rsidRPr="002C3BAD">
        <w:rPr>
          <w:rFonts w:eastAsiaTheme="minorHAnsi"/>
          <w:sz w:val="24"/>
          <w:szCs w:val="24"/>
          <w:lang w:eastAsia="en-US"/>
        </w:rPr>
        <w:t xml:space="preserve">Stárneme ve zdraví, </w:t>
      </w:r>
      <w:proofErr w:type="spellStart"/>
      <w:r w:rsidRPr="002C3BAD">
        <w:rPr>
          <w:rFonts w:eastAsiaTheme="minorHAnsi"/>
          <w:sz w:val="24"/>
          <w:szCs w:val="24"/>
          <w:lang w:eastAsia="en-US"/>
        </w:rPr>
        <w:t>z.ú</w:t>
      </w:r>
      <w:proofErr w:type="spellEnd"/>
      <w:r w:rsidRPr="002C3BAD">
        <w:rPr>
          <w:rFonts w:eastAsiaTheme="minorHAnsi"/>
          <w:sz w:val="24"/>
          <w:szCs w:val="24"/>
          <w:lang w:eastAsia="en-US"/>
        </w:rPr>
        <w:t>.</w:t>
      </w:r>
      <w:r>
        <w:rPr>
          <w:rFonts w:eastAsiaTheme="minorHAnsi"/>
          <w:sz w:val="24"/>
          <w:szCs w:val="24"/>
          <w:lang w:eastAsia="en-US"/>
        </w:rPr>
        <w:t xml:space="preserve"> </w:t>
      </w:r>
      <w:r w:rsidR="002C3BAD">
        <w:rPr>
          <w:sz w:val="24"/>
          <w:szCs w:val="24"/>
        </w:rPr>
        <w:t>neposkytnout a prostředky rozdělit mezi všechny ostatní žadatele</w:t>
      </w:r>
      <w:r w:rsidR="005037EA">
        <w:rPr>
          <w:sz w:val="24"/>
          <w:szCs w:val="24"/>
        </w:rPr>
        <w:t>, zejména pak letňanským seniorům, klubu Slunečnice či Kazimírka</w:t>
      </w:r>
      <w:bookmarkStart w:id="0" w:name="_GoBack"/>
      <w:bookmarkEnd w:id="0"/>
      <w:r w:rsidR="002C3BAD">
        <w:rPr>
          <w:sz w:val="24"/>
          <w:szCs w:val="24"/>
        </w:rPr>
        <w:t>.</w:t>
      </w:r>
    </w:p>
    <w:p w:rsidR="00BF5E82" w:rsidRPr="002B2B65" w:rsidRDefault="00BF5E82" w:rsidP="00BF5E82">
      <w:pPr>
        <w:pStyle w:val="Zkladntextodsazen3"/>
        <w:spacing w:before="120"/>
        <w:ind w:left="720"/>
        <w:jc w:val="both"/>
        <w:rPr>
          <w:sz w:val="24"/>
          <w:szCs w:val="24"/>
        </w:rPr>
      </w:pPr>
      <w:r>
        <w:rPr>
          <w:sz w:val="24"/>
          <w:szCs w:val="24"/>
        </w:rPr>
        <w:t>x</w:t>
      </w:r>
      <w:r w:rsidRPr="002B2B65">
        <w:rPr>
          <w:sz w:val="24"/>
          <w:szCs w:val="24"/>
        </w:rPr>
        <w:t>.2.3</w:t>
      </w:r>
      <w:r w:rsidRPr="002B2B65">
        <w:rPr>
          <w:sz w:val="24"/>
          <w:szCs w:val="24"/>
        </w:rPr>
        <w:tab/>
        <w:t>Další přílohy nebo odkazy:</w:t>
      </w:r>
    </w:p>
    <w:p w:rsidR="00BF5E82" w:rsidRPr="00D21A73" w:rsidRDefault="00BF5E82" w:rsidP="00BF5E82">
      <w:pPr>
        <w:pStyle w:val="Zkladntextodsazen3"/>
        <w:spacing w:after="0"/>
        <w:ind w:left="1416"/>
        <w:jc w:val="both"/>
        <w:rPr>
          <w:sz w:val="24"/>
        </w:rPr>
      </w:pPr>
      <w:r w:rsidRPr="00D21A73">
        <w:rPr>
          <w:sz w:val="24"/>
        </w:rPr>
        <w:t xml:space="preserve">příloha č. 1 – zápis komise  </w:t>
      </w:r>
      <w:hyperlink r:id="rId4" w:history="1">
        <w:proofErr w:type="spellStart"/>
        <w:r w:rsidRPr="00D21A73">
          <w:rPr>
            <w:rStyle w:val="Hypertextovodkaz"/>
            <w:sz w:val="24"/>
          </w:rPr>
          <w:t>priloha</w:t>
        </w:r>
        <w:proofErr w:type="spellEnd"/>
      </w:hyperlink>
    </w:p>
    <w:p w:rsidR="00BF5E82" w:rsidRDefault="00BF5E82" w:rsidP="00BF5E82">
      <w:pPr>
        <w:pStyle w:val="Zkladntextodsazen3"/>
        <w:spacing w:after="0"/>
        <w:ind w:left="1416"/>
        <w:jc w:val="both"/>
        <w:rPr>
          <w:sz w:val="24"/>
        </w:rPr>
      </w:pPr>
      <w:r w:rsidRPr="00D21A73">
        <w:rPr>
          <w:sz w:val="24"/>
        </w:rPr>
        <w:t xml:space="preserve">příloha č. 2 – návrh komise dotace  </w:t>
      </w:r>
      <w:hyperlink r:id="rId5" w:history="1">
        <w:proofErr w:type="spellStart"/>
        <w:r w:rsidRPr="00D21A73">
          <w:rPr>
            <w:rStyle w:val="Hypertextovodkaz"/>
            <w:sz w:val="24"/>
          </w:rPr>
          <w:t>priloha</w:t>
        </w:r>
        <w:proofErr w:type="spellEnd"/>
      </w:hyperlink>
    </w:p>
    <w:p w:rsidR="00B667E3" w:rsidRPr="00B667E3" w:rsidRDefault="00B667E3" w:rsidP="00BF5E82">
      <w:pPr>
        <w:pStyle w:val="Zkladntextodsazen3"/>
        <w:spacing w:after="0"/>
        <w:ind w:left="1416"/>
        <w:jc w:val="both"/>
        <w:rPr>
          <w:sz w:val="24"/>
          <w:szCs w:val="24"/>
        </w:rPr>
      </w:pPr>
      <w:r w:rsidRPr="00B667E3">
        <w:rPr>
          <w:sz w:val="24"/>
          <w:szCs w:val="24"/>
        </w:rPr>
        <w:t>příloha č. 3 – výpis z veřejného rejstříku</w:t>
      </w:r>
      <w:r>
        <w:rPr>
          <w:sz w:val="24"/>
          <w:szCs w:val="24"/>
        </w:rPr>
        <w:t xml:space="preserve"> (ústavů)</w:t>
      </w:r>
      <w:r w:rsidRPr="00B667E3">
        <w:rPr>
          <w:sz w:val="24"/>
          <w:szCs w:val="24"/>
        </w:rPr>
        <w:t xml:space="preserve"> </w:t>
      </w:r>
      <w:r w:rsidRPr="00B667E3">
        <w:rPr>
          <w:rFonts w:eastAsiaTheme="minorHAnsi"/>
          <w:sz w:val="24"/>
          <w:szCs w:val="24"/>
          <w:lang w:eastAsia="en-US"/>
        </w:rPr>
        <w:t xml:space="preserve">Stárneme ve zdraví, </w:t>
      </w:r>
      <w:proofErr w:type="spellStart"/>
      <w:r w:rsidRPr="00B667E3">
        <w:rPr>
          <w:rFonts w:eastAsiaTheme="minorHAnsi"/>
          <w:sz w:val="24"/>
          <w:szCs w:val="24"/>
          <w:lang w:eastAsia="en-US"/>
        </w:rPr>
        <w:t>z.ú</w:t>
      </w:r>
      <w:proofErr w:type="spellEnd"/>
      <w:r w:rsidRPr="00B667E3">
        <w:rPr>
          <w:rFonts w:eastAsiaTheme="minorHAnsi"/>
          <w:sz w:val="24"/>
          <w:szCs w:val="24"/>
          <w:lang w:eastAsia="en-US"/>
        </w:rPr>
        <w:t>.</w:t>
      </w:r>
      <w:r>
        <w:rPr>
          <w:rFonts w:eastAsiaTheme="minorHAnsi"/>
          <w:sz w:val="24"/>
          <w:szCs w:val="24"/>
          <w:lang w:eastAsia="en-US"/>
        </w:rPr>
        <w:t xml:space="preserve"> </w:t>
      </w:r>
      <w:hyperlink r:id="rId6" w:history="1">
        <w:proofErr w:type="spellStart"/>
        <w:r w:rsidRPr="00D21A73">
          <w:rPr>
            <w:rStyle w:val="Hypertextovodkaz"/>
            <w:sz w:val="24"/>
          </w:rPr>
          <w:t>priloha</w:t>
        </w:r>
        <w:proofErr w:type="spellEnd"/>
      </w:hyperlink>
    </w:p>
    <w:p w:rsidR="00BF5E82" w:rsidRPr="002B2B65" w:rsidRDefault="00BF5E82" w:rsidP="00BF5E82">
      <w:pPr>
        <w:pStyle w:val="Zkladntextodsazen"/>
        <w:spacing w:before="120"/>
        <w:ind w:left="0"/>
        <w:rPr>
          <w:b/>
          <w:bCs/>
        </w:rPr>
      </w:pPr>
      <w:r>
        <w:rPr>
          <w:b/>
          <w:bCs/>
        </w:rPr>
        <w:t>x</w:t>
      </w:r>
      <w:r w:rsidRPr="002B2B65">
        <w:rPr>
          <w:b/>
          <w:bCs/>
        </w:rPr>
        <w:t>.3</w:t>
      </w:r>
      <w:r w:rsidRPr="002B2B65">
        <w:rPr>
          <w:b/>
          <w:bCs/>
        </w:rPr>
        <w:tab/>
        <w:t xml:space="preserve">Termín realizace přijatého usnesení: </w:t>
      </w:r>
      <w:r>
        <w:rPr>
          <w:bCs/>
        </w:rPr>
        <w:t>ihned</w:t>
      </w:r>
    </w:p>
    <w:p w:rsidR="00BF5E82" w:rsidRPr="002B2B65" w:rsidRDefault="00BF5E82" w:rsidP="00BF5E82">
      <w:pPr>
        <w:pStyle w:val="Zkladntextodsazen"/>
        <w:spacing w:before="120"/>
        <w:ind w:left="0"/>
      </w:pPr>
      <w:r>
        <w:rPr>
          <w:b/>
          <w:bCs/>
        </w:rPr>
        <w:t>x</w:t>
      </w:r>
      <w:r w:rsidRPr="002B2B65">
        <w:rPr>
          <w:b/>
          <w:bCs/>
        </w:rPr>
        <w:t>.4</w:t>
      </w:r>
      <w:r w:rsidRPr="002B2B65">
        <w:rPr>
          <w:b/>
          <w:bCs/>
        </w:rPr>
        <w:tab/>
        <w:t>Zodpovídá:</w:t>
      </w:r>
      <w:r w:rsidRPr="002B2B65">
        <w:tab/>
        <w:t>zástupkyně starosty Lojková (OSPZ, EO)</w:t>
      </w:r>
    </w:p>
    <w:p w:rsidR="00BF5E82" w:rsidRPr="002B2B65" w:rsidRDefault="00BF5E82" w:rsidP="00BF5E82">
      <w:pPr>
        <w:pStyle w:val="Zkladntextodsazen"/>
        <w:spacing w:before="120"/>
        <w:ind w:left="0"/>
      </w:pPr>
      <w:r>
        <w:rPr>
          <w:b/>
          <w:bCs/>
        </w:rPr>
        <w:t>x</w:t>
      </w:r>
      <w:r w:rsidRPr="002B2B65">
        <w:rPr>
          <w:b/>
          <w:bCs/>
        </w:rPr>
        <w:t>.5</w:t>
      </w:r>
      <w:r w:rsidRPr="002B2B65">
        <w:rPr>
          <w:b/>
          <w:bCs/>
        </w:rPr>
        <w:tab/>
        <w:t>Hlasování:</w:t>
      </w:r>
      <w:r w:rsidRPr="002B2B65">
        <w:tab/>
        <w:t xml:space="preserve">pro   </w:t>
      </w:r>
      <w:proofErr w:type="spellStart"/>
      <w:r>
        <w:t>xx</w:t>
      </w:r>
      <w:proofErr w:type="spellEnd"/>
      <w:r w:rsidRPr="002B2B65">
        <w:tab/>
        <w:t xml:space="preserve">proti   </w:t>
      </w:r>
      <w:r>
        <w:t>x</w:t>
      </w:r>
      <w:r w:rsidRPr="002B2B65">
        <w:tab/>
        <w:t xml:space="preserve">zdržel se   </w:t>
      </w:r>
      <w:r>
        <w:t>x</w:t>
      </w:r>
    </w:p>
    <w:p w:rsidR="00895CA1" w:rsidRPr="00BF5E82" w:rsidRDefault="00BF5E82" w:rsidP="00BF5E82">
      <w:pPr>
        <w:pStyle w:val="Zkladntextodsazen"/>
        <w:spacing w:before="120"/>
        <w:ind w:left="2127"/>
        <w:rPr>
          <w:b/>
        </w:rPr>
      </w:pPr>
      <w:r w:rsidRPr="002B2B65">
        <w:rPr>
          <w:b/>
        </w:rPr>
        <w:t xml:space="preserve">Usnesení </w:t>
      </w:r>
      <w:r>
        <w:rPr>
          <w:b/>
        </w:rPr>
        <w:t>ne-</w:t>
      </w:r>
      <w:r w:rsidRPr="002B2B65">
        <w:rPr>
          <w:b/>
        </w:rPr>
        <w:t>bylo přijato.</w:t>
      </w:r>
    </w:p>
    <w:sectPr w:rsidR="00895CA1" w:rsidRPr="00BF5E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82"/>
    <w:rsid w:val="002C3BAD"/>
    <w:rsid w:val="005037EA"/>
    <w:rsid w:val="007C0E76"/>
    <w:rsid w:val="00801317"/>
    <w:rsid w:val="00895CA1"/>
    <w:rsid w:val="00A84C23"/>
    <w:rsid w:val="00B667E3"/>
    <w:rsid w:val="00BF5E82"/>
    <w:rsid w:val="00ED0B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F80E7"/>
  <w15:chartTrackingRefBased/>
  <w15:docId w15:val="{B2A51B48-5429-4518-BC46-B19A85A65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5E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BF5E82"/>
    <w:pPr>
      <w:keepNext/>
      <w:outlineLvl w:val="1"/>
    </w:pPr>
    <w:rPr>
      <w:b/>
      <w:color w:val="000000"/>
      <w:szCs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5E82"/>
    <w:rPr>
      <w:rFonts w:ascii="Times New Roman" w:eastAsia="Times New Roman" w:hAnsi="Times New Roman" w:cs="Times New Roman"/>
      <w:b/>
      <w:color w:val="000000"/>
      <w:sz w:val="24"/>
      <w:szCs w:val="32"/>
      <w:u w:val="single"/>
      <w:lang w:eastAsia="cs-CZ"/>
    </w:rPr>
  </w:style>
  <w:style w:type="paragraph" w:styleId="Zkladntextodsazen">
    <w:name w:val="Body Text Indent"/>
    <w:aliases w:val="Char Char Char Char Char Char Char"/>
    <w:basedOn w:val="Normln"/>
    <w:link w:val="ZkladntextodsazenChar"/>
    <w:uiPriority w:val="99"/>
    <w:rsid w:val="00BF5E82"/>
    <w:pPr>
      <w:snapToGrid w:val="0"/>
      <w:ind w:left="993"/>
      <w:jc w:val="both"/>
    </w:pPr>
  </w:style>
  <w:style w:type="character" w:customStyle="1" w:styleId="ZkladntextodsazenChar">
    <w:name w:val="Základní text odsazený Char"/>
    <w:aliases w:val="Char Char Char Char Char Char Char Char"/>
    <w:basedOn w:val="Standardnpsmoodstavce"/>
    <w:link w:val="Zkladntextodsazen"/>
    <w:uiPriority w:val="99"/>
    <w:rsid w:val="00BF5E82"/>
    <w:rPr>
      <w:rFonts w:ascii="Times New Roman" w:eastAsia="Times New Roman" w:hAnsi="Times New Roman" w:cs="Times New Roman"/>
      <w:sz w:val="24"/>
      <w:szCs w:val="24"/>
      <w:lang w:eastAsia="cs-CZ"/>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uiPriority w:val="99"/>
    <w:rsid w:val="00BF5E82"/>
    <w:pPr>
      <w:spacing w:after="120"/>
      <w:ind w:left="283"/>
    </w:pPr>
    <w:rPr>
      <w:sz w:val="16"/>
      <w:szCs w:val="16"/>
    </w:rPr>
  </w:style>
  <w:style w:type="character" w:customStyle="1" w:styleId="Zkladntextodsazen3Char">
    <w:name w:val="Základní text odsazený 3 Char"/>
    <w:aliases w:val=" Char Char3,Char Char3, Char Char Char Char Char Char Char Char,Char Char Char Char Char Char Char1 Char,Char Char Char Char Char Char Char11 Char, Char Char6, Char Char Char Char Char Char Char Char1"/>
    <w:basedOn w:val="Standardnpsmoodstavce"/>
    <w:link w:val="Zkladntextodsazen3"/>
    <w:uiPriority w:val="99"/>
    <w:rsid w:val="00BF5E82"/>
    <w:rPr>
      <w:rFonts w:ascii="Times New Roman" w:eastAsia="Times New Roman" w:hAnsi="Times New Roman" w:cs="Times New Roman"/>
      <w:sz w:val="16"/>
      <w:szCs w:val="16"/>
      <w:lang w:eastAsia="cs-CZ"/>
    </w:rPr>
  </w:style>
  <w:style w:type="character" w:styleId="Hypertextovodkaz">
    <w:name w:val="Hyperlink"/>
    <w:rsid w:val="00BF5E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G:\OKT\Kubickova\RM&#268;%20a%20ZM&#268;\Zastupitelstva\ZMC_2018\ZMC_01x18\Prilohy\SOC%20dotace%20_2018_tabulkakomise.pdf" TargetMode="External"/><Relationship Id="rId5" Type="http://schemas.openxmlformats.org/officeDocument/2006/relationships/hyperlink" Target="file:///G:\OKT\Kubickova\RM&#268;%20a%20ZM&#268;\Zastupitelstva\ZMC_2018\ZMC_01x18\Prilohy\SOC%20dotace%20_2018_tabulkakomise.pdf" TargetMode="External"/><Relationship Id="rId4" Type="http://schemas.openxmlformats.org/officeDocument/2006/relationships/hyperlink" Target="file:///G:\OKT\Kubickova\RM&#268;%20a%20ZM&#268;\Zastupitelstva\ZMC_2018\ZMC_01x18\Prilohy\SOC%20dotace%20_2018_zapis.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802</Words>
  <Characters>4735</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Lněnička</dc:creator>
  <cp:keywords/>
  <dc:description/>
  <cp:lastModifiedBy>Ondřej Lněnička</cp:lastModifiedBy>
  <cp:revision>5</cp:revision>
  <dcterms:created xsi:type="dcterms:W3CDTF">2018-02-26T12:36:00Z</dcterms:created>
  <dcterms:modified xsi:type="dcterms:W3CDTF">2018-02-26T13:04:00Z</dcterms:modified>
</cp:coreProperties>
</file>